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13F" w:rsidRDefault="0092213F">
      <w:pPr>
        <w:spacing w:after="10" w:line="256" w:lineRule="auto"/>
        <w:ind w:right="-24"/>
      </w:pPr>
    </w:p>
    <w:p w:rsidR="0092213F" w:rsidRDefault="0092213F">
      <w:pPr>
        <w:spacing w:after="10" w:line="256" w:lineRule="auto"/>
        <w:ind w:right="-24"/>
      </w:pPr>
    </w:p>
    <w:p w:rsidR="003732FC" w:rsidRDefault="003732FC">
      <w:pPr>
        <w:jc w:val="center"/>
        <w:rPr>
          <w:b/>
        </w:rPr>
      </w:pPr>
      <w:bookmarkStart w:id="0" w:name="_heading=h.30j0zll" w:colFirst="0" w:colLast="0"/>
      <w:bookmarkEnd w:id="0"/>
    </w:p>
    <w:p w:rsidR="003732FC" w:rsidRDefault="003732FC">
      <w:pPr>
        <w:jc w:val="center"/>
        <w:rPr>
          <w:b/>
        </w:rPr>
      </w:pPr>
    </w:p>
    <w:p w:rsidR="003732FC" w:rsidRDefault="003732FC">
      <w:pPr>
        <w:jc w:val="center"/>
        <w:rPr>
          <w:b/>
        </w:rPr>
      </w:pPr>
    </w:p>
    <w:p w:rsidR="003732FC" w:rsidRDefault="003732FC">
      <w:pPr>
        <w:jc w:val="center"/>
        <w:rPr>
          <w:b/>
        </w:rPr>
      </w:pPr>
    </w:p>
    <w:p w:rsidR="003732FC" w:rsidRDefault="003732FC">
      <w:pPr>
        <w:jc w:val="center"/>
        <w:rPr>
          <w:b/>
        </w:rPr>
      </w:pPr>
    </w:p>
    <w:p w:rsidR="00492FAE" w:rsidRDefault="00A837C7">
      <w:pPr>
        <w:jc w:val="center"/>
        <w:rPr>
          <w:b/>
          <w:sz w:val="32"/>
          <w:szCs w:val="32"/>
        </w:rPr>
      </w:pPr>
      <w:r w:rsidRPr="00492FAE">
        <w:rPr>
          <w:b/>
          <w:sz w:val="32"/>
          <w:szCs w:val="32"/>
        </w:rPr>
        <w:t>Allegato C CSA</w:t>
      </w:r>
      <w:bookmarkStart w:id="1" w:name="_heading=h.lnxbz9" w:colFirst="0" w:colLast="0"/>
      <w:bookmarkEnd w:id="1"/>
      <w:r w:rsidR="00492FAE">
        <w:rPr>
          <w:b/>
          <w:sz w:val="32"/>
          <w:szCs w:val="32"/>
        </w:rPr>
        <w:t xml:space="preserve"> </w:t>
      </w:r>
    </w:p>
    <w:p w:rsidR="0092213F" w:rsidRDefault="00A837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RIEPILOGO CARATTERISTICHE TECNICHE E FUNZIONALI</w:t>
      </w:r>
    </w:p>
    <w:p w:rsidR="0092213F" w:rsidRDefault="0092213F">
      <w:pPr>
        <w:jc w:val="center"/>
        <w:rPr>
          <w:b/>
          <w:sz w:val="32"/>
          <w:szCs w:val="32"/>
        </w:rPr>
      </w:pPr>
    </w:p>
    <w:p w:rsidR="00492FAE" w:rsidRDefault="00492FAE">
      <w:pPr>
        <w:jc w:val="center"/>
        <w:rPr>
          <w:b/>
          <w:sz w:val="32"/>
          <w:szCs w:val="32"/>
        </w:rPr>
      </w:pPr>
    </w:p>
    <w:p w:rsidR="0092213F" w:rsidRDefault="0092213F">
      <w:pPr>
        <w:jc w:val="center"/>
        <w:rPr>
          <w:b/>
          <w:sz w:val="32"/>
          <w:szCs w:val="32"/>
        </w:rPr>
      </w:pPr>
    </w:p>
    <w:p w:rsidR="0092213F" w:rsidRDefault="00594D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D13">
        <w:rPr>
          <w:b/>
        </w:rPr>
        <w:t>SCANNER PER ACQUISIZIONE DI VETRINI ISTO-CITOLOGICI</w:t>
      </w:r>
    </w:p>
    <w:p w:rsidR="0092213F" w:rsidRDefault="009221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3F" w:rsidRDefault="009221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3F" w:rsidRDefault="009221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3F" w:rsidRDefault="009221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D13" w:rsidRDefault="00594D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FAE" w:rsidRDefault="00492F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FAE" w:rsidRDefault="00492F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FAE" w:rsidRDefault="00492F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FAE" w:rsidRDefault="00492F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FAE" w:rsidRDefault="00492F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FAE" w:rsidRDefault="00492F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D13" w:rsidRDefault="00492FAE">
      <w:pPr>
        <w:jc w:val="both"/>
      </w:pPr>
      <w:bookmarkStart w:id="2" w:name="_heading=h.gjdgxs" w:colFirst="0" w:colLast="0"/>
      <w:bookmarkEnd w:id="2"/>
      <w:r>
        <w:t>N</w:t>
      </w:r>
      <w:r w:rsidR="00A837C7">
        <w:t xml:space="preserve">el presente documento – da caricare a sistema come “Allegato tecnico - devono essere riportate, tabulate, le eventuali caratteristiche tecniche e funzionali migliorative offerte per </w:t>
      </w:r>
      <w:r w:rsidR="00594D13">
        <w:t xml:space="preserve">uno </w:t>
      </w:r>
      <w:r w:rsidR="00594D13" w:rsidRPr="00594D13">
        <w:t>SCANNER PER ACQUISIZIONE DI VETRINI ISTO-CITOLOGICI</w:t>
      </w:r>
      <w:r w:rsidR="00594D13">
        <w:t>.</w:t>
      </w:r>
    </w:p>
    <w:p w:rsidR="0092213F" w:rsidRDefault="00A837C7">
      <w:pPr>
        <w:jc w:val="both"/>
      </w:pPr>
      <w:r>
        <w:t xml:space="preserve">Al fine di consentire alla Commissione di gara la valutazione dell’offerta tecnica, il Concorrente dovrà compilare le sottostanti tabelle, mediante indicazione dei valori/parametri offerti e il riferimento al relativo paragrafo della relazione tecnica. Nella colonna “Valore/parametro offerto” devono essere indicati precisamente i parametri dell’attrezzatura proposta; non sono ammessi </w:t>
      </w:r>
    </w:p>
    <w:p w:rsidR="0092213F" w:rsidRDefault="00A837C7">
      <w:pPr>
        <w:jc w:val="both"/>
      </w:pPr>
      <w:r>
        <w:t>range o diciture generiche.</w:t>
      </w:r>
    </w:p>
    <w:p w:rsidR="00492FAE" w:rsidRDefault="00492FAE">
      <w:pPr>
        <w:jc w:val="both"/>
      </w:pPr>
    </w:p>
    <w:p w:rsidR="00492FAE" w:rsidRDefault="00492FAE">
      <w:pPr>
        <w:jc w:val="both"/>
      </w:pPr>
    </w:p>
    <w:p w:rsidR="00492FAE" w:rsidRDefault="00492FAE">
      <w:pPr>
        <w:jc w:val="both"/>
      </w:pPr>
    </w:p>
    <w:tbl>
      <w:tblPr>
        <w:tblW w:w="10207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4953"/>
        <w:gridCol w:w="2351"/>
        <w:gridCol w:w="2410"/>
      </w:tblGrid>
      <w:tr w:rsidR="003732FC" w:rsidRPr="004944AE" w:rsidTr="003732FC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3732FC">
            <w:pPr>
              <w:spacing w:line="240" w:lineRule="auto"/>
              <w:rPr>
                <w:rFonts w:eastAsia="Times New Roman"/>
                <w:color w:val="222222"/>
              </w:rPr>
            </w:pPr>
            <w:bookmarkStart w:id="3" w:name="_GoBack"/>
            <w:bookmarkEnd w:id="3"/>
            <w:r w:rsidRPr="004944AE">
              <w:rPr>
                <w:rFonts w:eastAsia="Times New Roman"/>
                <w:color w:val="222222"/>
              </w:rPr>
              <w:lastRenderedPageBreak/>
              <w:t>N.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3732FC">
            <w:pPr>
              <w:spacing w:line="240" w:lineRule="auto"/>
              <w:rPr>
                <w:rFonts w:eastAsia="Times New Roman"/>
                <w:color w:val="222222"/>
              </w:rPr>
            </w:pPr>
            <w:r w:rsidRPr="004944AE">
              <w:rPr>
                <w:rFonts w:eastAsia="Times New Roman"/>
                <w:color w:val="222222"/>
              </w:rPr>
              <w:t>Elemento di valutazione</w:t>
            </w:r>
          </w:p>
        </w:tc>
        <w:tc>
          <w:tcPr>
            <w:tcW w:w="2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32FC" w:rsidRDefault="003732FC" w:rsidP="003732FC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Valore/parametro offerto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32FC" w:rsidRDefault="003732FC" w:rsidP="003732FC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Riferimento nella relazione tecnica (pagina, paragrafo, eventuale codice)</w:t>
            </w:r>
          </w:p>
        </w:tc>
      </w:tr>
      <w:tr w:rsidR="003732FC" w:rsidRPr="004944AE" w:rsidTr="003732FC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  <w:color w:val="222222"/>
              </w:rPr>
            </w:pPr>
            <w:r w:rsidRPr="004944AE">
              <w:rPr>
                <w:rFonts w:eastAsia="Times New Roman"/>
                <w:color w:val="222222"/>
              </w:rPr>
              <w:t>1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  <w:color w:val="222222"/>
              </w:rPr>
            </w:pPr>
            <w:r w:rsidRPr="004944AE">
              <w:rPr>
                <w:rFonts w:eastAsia="Times New Roman"/>
                <w:color w:val="222222"/>
              </w:rPr>
              <w:t>Disponibilità alla futura fornitura di filtri che coprano lo spettro dei fluorocromi della serie OPAL</w:t>
            </w:r>
          </w:p>
        </w:tc>
        <w:tc>
          <w:tcPr>
            <w:tcW w:w="2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  <w:color w:val="222222"/>
              </w:rPr>
            </w:pPr>
          </w:p>
        </w:tc>
      </w:tr>
      <w:tr w:rsidR="003732FC" w:rsidRPr="004944AE" w:rsidTr="003732FC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2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 xml:space="preserve">Capacità di effettuare caricamento diretto dei rack utilizzati dai principali </w:t>
            </w:r>
            <w:proofErr w:type="spellStart"/>
            <w:r w:rsidRPr="004944AE">
              <w:rPr>
                <w:rFonts w:eastAsia="Times New Roman"/>
              </w:rPr>
              <w:t>coloratori</w:t>
            </w:r>
            <w:proofErr w:type="spellEnd"/>
            <w:r w:rsidRPr="004944AE">
              <w:rPr>
                <w:rFonts w:eastAsia="Times New Roman"/>
              </w:rPr>
              <w:t xml:space="preserve"> per istologia</w:t>
            </w:r>
          </w:p>
        </w:tc>
        <w:tc>
          <w:tcPr>
            <w:tcW w:w="2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</w:tr>
      <w:tr w:rsidR="003732FC" w:rsidRPr="004944AE" w:rsidTr="003732FC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3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Numero filtri UV per indagini FISH e immunofluorescenza montati contemporaneamente a bordo dello strumento</w:t>
            </w:r>
          </w:p>
        </w:tc>
        <w:tc>
          <w:tcPr>
            <w:tcW w:w="2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</w:tr>
      <w:tr w:rsidR="003732FC" w:rsidRPr="004944AE" w:rsidTr="003732FC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4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Numero canali di emissione specifica della sorgente luminosa per fluorescenza</w:t>
            </w:r>
          </w:p>
        </w:tc>
        <w:tc>
          <w:tcPr>
            <w:tcW w:w="2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</w:tr>
      <w:tr w:rsidR="003732FC" w:rsidRPr="004944AE" w:rsidTr="003732FC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5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Dimensioni pixel fotocamera monocromatica per immunofluorescenza</w:t>
            </w:r>
            <w:r w:rsidRPr="004944AE">
              <w:rPr>
                <w:rFonts w:eastAsia="Times New Roman"/>
              </w:rPr>
              <w:br/>
              <w:t>(maggiore dimensioni, migliorativo)</w:t>
            </w:r>
          </w:p>
        </w:tc>
        <w:tc>
          <w:tcPr>
            <w:tcW w:w="2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</w:tr>
      <w:tr w:rsidR="003732FC" w:rsidRPr="004944AE" w:rsidTr="003732FC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6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Capacità di scannerizzare vetrini con formato 52 x 76 mm</w:t>
            </w:r>
          </w:p>
        </w:tc>
        <w:tc>
          <w:tcPr>
            <w:tcW w:w="2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</w:tr>
      <w:tr w:rsidR="003732FC" w:rsidRPr="004944AE" w:rsidTr="003732FC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7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Tempo di scansione in campo chiaro di un’area di 15x15 mm con ottica di acquisizione 20X (in secondi)</w:t>
            </w:r>
          </w:p>
        </w:tc>
        <w:tc>
          <w:tcPr>
            <w:tcW w:w="2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</w:tr>
      <w:tr w:rsidR="003732FC" w:rsidRPr="004944AE" w:rsidTr="003732FC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8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Risoluzione in campo chiaro migliorativa rispetto a quanto richiesto</w:t>
            </w:r>
          </w:p>
        </w:tc>
        <w:tc>
          <w:tcPr>
            <w:tcW w:w="2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</w:tr>
      <w:tr w:rsidR="003732FC" w:rsidRPr="004944AE" w:rsidTr="003732FC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9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Predisposizione dello strumento ad alloggiare obiettivi di acquisizione con ingrandimenti superiori a 40X</w:t>
            </w:r>
          </w:p>
        </w:tc>
        <w:tc>
          <w:tcPr>
            <w:tcW w:w="2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</w:tr>
      <w:tr w:rsidR="003732FC" w:rsidRPr="004944AE" w:rsidTr="003732FC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10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Presenza di un sistema per la gestione dei vetrini problematici, al fine di evitare il blocco macchina con segnalazione via sms o e-mail in caso di blocco non superabile</w:t>
            </w:r>
          </w:p>
        </w:tc>
        <w:tc>
          <w:tcPr>
            <w:tcW w:w="2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</w:tr>
      <w:tr w:rsidR="003732FC" w:rsidRPr="004944AE" w:rsidTr="003732FC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11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Valutazione qualità di un set di preparati istologici in campo chiaro ed in immunofluorescenza, scannerizzati durante il periodo di prova dello strumento e forniti dalla UOM di Anatomia Patologica</w:t>
            </w:r>
          </w:p>
        </w:tc>
        <w:tc>
          <w:tcPr>
            <w:tcW w:w="2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</w:tr>
      <w:tr w:rsidR="003732FC" w:rsidRPr="004944AE" w:rsidTr="003732FC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12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Software per gestione TMA</w:t>
            </w:r>
          </w:p>
        </w:tc>
        <w:tc>
          <w:tcPr>
            <w:tcW w:w="2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</w:tr>
      <w:tr w:rsidR="003732FC" w:rsidRPr="004944AE" w:rsidTr="003732FC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13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 xml:space="preserve">Interfaccia del sistema, usabilità dello strumento, </w:t>
            </w:r>
            <w:proofErr w:type="spellStart"/>
            <w:r w:rsidRPr="004944AE">
              <w:rPr>
                <w:rFonts w:eastAsia="Times New Roman"/>
              </w:rPr>
              <w:t>etc</w:t>
            </w:r>
            <w:proofErr w:type="spellEnd"/>
            <w:r w:rsidRPr="004944AE">
              <w:rPr>
                <w:rFonts w:eastAsia="Times New Roman"/>
              </w:rPr>
              <w:t>…</w:t>
            </w:r>
          </w:p>
        </w:tc>
        <w:tc>
          <w:tcPr>
            <w:tcW w:w="2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</w:tr>
      <w:tr w:rsidR="003732FC" w:rsidRPr="004944AE" w:rsidTr="003732FC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14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certificazione IVD/IVDR</w:t>
            </w:r>
          </w:p>
        </w:tc>
        <w:tc>
          <w:tcPr>
            <w:tcW w:w="2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</w:tr>
      <w:tr w:rsidR="003732FC" w:rsidRPr="004944AE" w:rsidTr="003732FC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15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certificazione SA8000</w:t>
            </w:r>
          </w:p>
        </w:tc>
        <w:tc>
          <w:tcPr>
            <w:tcW w:w="2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</w:tr>
      <w:tr w:rsidR="003732FC" w:rsidRPr="004944AE" w:rsidTr="003732FC">
        <w:trPr>
          <w:trHeight w:val="315"/>
        </w:trPr>
        <w:tc>
          <w:tcPr>
            <w:tcW w:w="49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16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  <w:r w:rsidRPr="004944AE">
              <w:rPr>
                <w:rFonts w:eastAsia="Times New Roman"/>
              </w:rPr>
              <w:t>Ulteriore anno di garanzia full risk</w:t>
            </w:r>
          </w:p>
        </w:tc>
        <w:tc>
          <w:tcPr>
            <w:tcW w:w="2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:rsidR="003732FC" w:rsidRPr="004944AE" w:rsidRDefault="003732FC" w:rsidP="00A5528A">
            <w:pPr>
              <w:spacing w:line="240" w:lineRule="auto"/>
              <w:rPr>
                <w:rFonts w:eastAsia="Times New Roman"/>
              </w:rPr>
            </w:pPr>
          </w:p>
        </w:tc>
      </w:tr>
    </w:tbl>
    <w:p w:rsidR="0092213F" w:rsidRDefault="0092213F" w:rsidP="003732FC">
      <w:pPr>
        <w:jc w:val="both"/>
      </w:pPr>
    </w:p>
    <w:sectPr w:rsidR="00922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20D" w:rsidRDefault="0083120D">
      <w:pPr>
        <w:spacing w:line="240" w:lineRule="auto"/>
      </w:pPr>
      <w:r>
        <w:separator/>
      </w:r>
    </w:p>
  </w:endnote>
  <w:endnote w:type="continuationSeparator" w:id="0">
    <w:p w:rsidR="0083120D" w:rsidRDefault="00831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13F" w:rsidRDefault="009221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13F" w:rsidRDefault="009221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:rsidR="0092213F" w:rsidRDefault="00A837C7">
    <w:r>
      <w:rPr>
        <w:noProof/>
      </w:rPr>
      <w:drawing>
        <wp:inline distT="0" distB="0" distL="0" distR="0">
          <wp:extent cx="5943600" cy="70231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02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13F" w:rsidRDefault="009221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20D" w:rsidRDefault="0083120D">
      <w:pPr>
        <w:spacing w:line="240" w:lineRule="auto"/>
      </w:pPr>
      <w:r>
        <w:separator/>
      </w:r>
    </w:p>
  </w:footnote>
  <w:footnote w:type="continuationSeparator" w:id="0">
    <w:p w:rsidR="0083120D" w:rsidRDefault="008312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13F" w:rsidRDefault="009221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13F" w:rsidRDefault="003732FC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b/>
      </w:rPr>
    </w:pPr>
    <w:r w:rsidRPr="00205C2D">
      <w:rPr>
        <w:noProof/>
        <w:sz w:val="20"/>
        <w:szCs w:val="20"/>
        <w:highlight w:val="yellow"/>
      </w:rPr>
      <w:drawing>
        <wp:anchor distT="0" distB="0" distL="114300" distR="114300" simplePos="0" relativeHeight="251659264" behindDoc="0" locked="0" layoutInCell="1" allowOverlap="1" wp14:anchorId="5C687456" wp14:editId="2E43EFEB">
          <wp:simplePos x="0" y="0"/>
          <wp:positionH relativeFrom="column">
            <wp:posOffset>-809625</wp:posOffset>
          </wp:positionH>
          <wp:positionV relativeFrom="paragraph">
            <wp:posOffset>-400050</wp:posOffset>
          </wp:positionV>
          <wp:extent cx="7560000" cy="806496"/>
          <wp:effectExtent l="0" t="0" r="3175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06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13F" w:rsidRDefault="009221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bookmarkStart w:id="4" w:name="_heading=h.3rdcrjn" w:colFirst="0" w:colLast="0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13F" w:rsidRDefault="009221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3F"/>
    <w:rsid w:val="003732FC"/>
    <w:rsid w:val="00492FAE"/>
    <w:rsid w:val="00594D13"/>
    <w:rsid w:val="0083120D"/>
    <w:rsid w:val="0092213F"/>
    <w:rsid w:val="00A837C7"/>
    <w:rsid w:val="00A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AD26"/>
  <w15:docId w15:val="{C764C2FF-98A0-4CC5-93F3-D182150B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51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4C3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C3E"/>
  </w:style>
  <w:style w:type="paragraph" w:styleId="Pidipagina">
    <w:name w:val="footer"/>
    <w:basedOn w:val="Normale"/>
    <w:link w:val="PidipaginaCarattere"/>
    <w:uiPriority w:val="99"/>
    <w:unhideWhenUsed/>
    <w:rsid w:val="00304C3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C3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15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156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5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5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2EC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a6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juuorGxWG/uzL0KRw4BCAc5HfQ==">CgMxLjAaJAoBMBIfCh0IB0IZCgVBcmltbxIQQXJpYWwgVW5pY29kZSBNUxokCgExEh8KHQgHQhkKBUFyaW1vEhBBcmlhbCBVbmljb2RlIE1TGiQKATISHwodCAdCGQoFQXJpbW8SEEFyaWFsIFVuaWNvZGUgTVMaJAoBMxIfCh0IB0IZCgVBcmltbxIQQXJpYWwgVW5pY29kZSBNUzIJaC4zMGowemxsMghoLmxueGJ6OTIIaC5namRneHMyCWguM3JkY3JqbjgAciExV2IzYVEtc2ZiWEtDdTlwNHJjOF8xNWl0QzRQTE9pO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Gaiardo</dc:creator>
  <cp:lastModifiedBy>Federico Pomarolli</cp:lastModifiedBy>
  <cp:revision>4</cp:revision>
  <dcterms:created xsi:type="dcterms:W3CDTF">2023-11-29T09:58:00Z</dcterms:created>
  <dcterms:modified xsi:type="dcterms:W3CDTF">2023-12-12T09:53:00Z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d35f11b202373cd29079f8f9cfff9d71d08e4d5901d9d22e31b113a0e7b176f5</vt:lpwstr>
  </property>
</Properties>
</file>